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3342EC" w:rsidRPr="003342EC" w:rsidRDefault="0031621F" w:rsidP="003342EC">
      <w:pPr>
        <w:ind w:left="851" w:hanging="851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3342EC" w:rsidRPr="003342EC">
        <w:rPr>
          <w:rFonts w:ascii="Times New Roman" w:hAnsi="Times New Roman" w:cs="Times New Roman"/>
          <w:sz w:val="22"/>
          <w:szCs w:val="22"/>
        </w:rPr>
        <w:t>Affidamento diretto fornitura,</w:t>
      </w:r>
      <w:r w:rsidR="003342EC" w:rsidRPr="003342E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342EC" w:rsidRPr="003342EC">
        <w:rPr>
          <w:rFonts w:ascii="Times New Roman" w:hAnsi="Times New Roman" w:cs="Times New Roman"/>
          <w:sz w:val="22"/>
          <w:szCs w:val="22"/>
        </w:rPr>
        <w:t>ex</w:t>
      </w:r>
      <w:r w:rsidR="003342EC" w:rsidRPr="003342E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342EC" w:rsidRPr="003342EC">
        <w:rPr>
          <w:rFonts w:ascii="Times New Roman" w:hAnsi="Times New Roman" w:cs="Times New Roman"/>
          <w:sz w:val="22"/>
          <w:szCs w:val="22"/>
        </w:rPr>
        <w:t>art. 1 comma 2 lett. a) del D.L. n. 76/2020, di n. 2 s</w:t>
      </w:r>
      <w:r w:rsidR="003342EC" w:rsidRPr="003342EC">
        <w:rPr>
          <w:rFonts w:ascii="Times New Roman" w:hAnsi="Times New Roman" w:cs="Times New Roman"/>
          <w:bCs/>
          <w:sz w:val="22"/>
          <w:szCs w:val="22"/>
        </w:rPr>
        <w:t>istemi per termoablazione tissutale a radiofrequenza</w:t>
      </w:r>
      <w:r w:rsidR="003342EC" w:rsidRPr="003342EC">
        <w:rPr>
          <w:rFonts w:ascii="Times New Roman" w:hAnsi="Times New Roman" w:cs="Times New Roman"/>
          <w:sz w:val="22"/>
          <w:szCs w:val="22"/>
        </w:rPr>
        <w:t>.</w:t>
      </w:r>
    </w:p>
    <w:p w:rsidR="003342EC" w:rsidRPr="003342EC" w:rsidRDefault="003342EC" w:rsidP="003342EC">
      <w:pPr>
        <w:pStyle w:val="Titolo5"/>
        <w:jc w:val="center"/>
        <w:rPr>
          <w:rFonts w:ascii="Times New Roman" w:hAnsi="Times New Roman"/>
          <w:sz w:val="22"/>
          <w:szCs w:val="22"/>
        </w:rPr>
      </w:pPr>
      <w:r w:rsidRPr="003342EC">
        <w:rPr>
          <w:rFonts w:ascii="Times New Roman" w:hAnsi="Times New Roman"/>
          <w:sz w:val="22"/>
          <w:szCs w:val="22"/>
        </w:rPr>
        <w:t xml:space="preserve">Gara n. 2020-232-BAS - CIG </w:t>
      </w:r>
      <w:r w:rsidRPr="003342EC">
        <w:rPr>
          <w:rStyle w:val="Enfasigrassetto"/>
          <w:rFonts w:ascii="Times New Roman" w:hAnsi="Times New Roman"/>
          <w:b/>
          <w:bCs/>
          <w:sz w:val="22"/>
          <w:szCs w:val="22"/>
        </w:rPr>
        <w:t>85583784F2</w:t>
      </w:r>
    </w:p>
    <w:p w:rsidR="003342EC" w:rsidRPr="003342EC" w:rsidRDefault="003342EC" w:rsidP="003342E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BA18C6" w:rsidRDefault="00C40BBF" w:rsidP="003342EC">
      <w:pPr>
        <w:spacing w:line="360" w:lineRule="auto"/>
        <w:ind w:left="851" w:hanging="851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lastRenderedPageBreak/>
        <w:t>di non incorrere nelle cause di esclusione di cui all’art. 80, comma 5</w:t>
      </w:r>
      <w:bookmarkStart w:id="0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0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7D700B">
        <w:rPr>
          <w:rFonts w:ascii="Times New Roman" w:hAnsi="Times New Roman" w:cs="Times New Roman"/>
          <w:sz w:val="22"/>
          <w:szCs w:val="22"/>
        </w:rPr>
        <w:t>le finalità di cui all’art. 21</w:t>
      </w:r>
      <w:bookmarkStart w:id="1" w:name="_GoBack"/>
      <w:bookmarkEnd w:id="1"/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1739F">
        <w:rPr>
          <w:rFonts w:ascii="Times New Roman" w:hAnsi="Times New Roman" w:cs="Times New Roman"/>
          <w:sz w:val="22"/>
          <w:szCs w:val="22"/>
        </w:rPr>
        <w:t>8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D700B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D700B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7D700B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617"/>
    <o:shapelayout v:ext="edit">
      <o:idmap v:ext="edit" data="1"/>
    </o:shapelayout>
  </w:shapeDefaults>
  <w:decimalSymbol w:val=","/>
  <w:listSeparator w:val=";"/>
  <w14:docId w14:val="31D3D5A2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49901-1817-4E7D-9C0E-D026AB5B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59</cp:revision>
  <cp:lastPrinted>2019-08-09T05:50:00Z</cp:lastPrinted>
  <dcterms:created xsi:type="dcterms:W3CDTF">2019-07-31T09:19:00Z</dcterms:created>
  <dcterms:modified xsi:type="dcterms:W3CDTF">2020-12-16T07:41:00Z</dcterms:modified>
</cp:coreProperties>
</file>